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Приложение № </w:t>
      </w:r>
      <w:r>
        <w:rPr>
          <w:rFonts w:ascii="Liberation Serif" w:hAnsi="Liberation Serif"/>
          <w:i/>
          <w:iCs/>
          <w:u w:val="single"/>
        </w:rPr>
        <w:t>1</w:t>
      </w:r>
    </w:p>
    <w:p>
      <w:pPr>
        <w:pStyle w:val="Normal"/>
        <w:jc w:val="right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p>
      <w:pPr>
        <w:pStyle w:val="Normal"/>
        <w:jc w:val="center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Опросный лист для заказа</w:t>
      </w:r>
    </w:p>
    <w:p>
      <w:pPr>
        <w:pStyle w:val="Normal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силового двухобмоточного трансформатора</w:t>
      </w:r>
    </w:p>
    <w:p>
      <w:pPr>
        <w:pStyle w:val="Normal"/>
        <w:jc w:val="center"/>
        <w:rPr>
          <w:rFonts w:ascii="Liberation Serif" w:hAnsi="Liberation Serif"/>
          <w:b/>
          <w:i/>
          <w:i/>
        </w:rPr>
      </w:pPr>
      <w:r>
        <w:rPr>
          <w:rFonts w:ascii="Liberation Serif" w:hAnsi="Liberation Serif"/>
          <w:b/>
          <w:i/>
        </w:rPr>
        <w:t>ТДН-1</w:t>
      </w:r>
      <w:r>
        <w:rPr>
          <w:rFonts w:ascii="Liberation Serif" w:hAnsi="Liberation Serif"/>
          <w:b/>
          <w:i/>
        </w:rPr>
        <w:t>6</w:t>
      </w:r>
      <w:r>
        <w:rPr>
          <w:rFonts w:ascii="Liberation Serif" w:hAnsi="Liberation Serif"/>
          <w:b/>
          <w:i/>
        </w:rPr>
        <w:t>000/110/6</w:t>
      </w:r>
    </w:p>
    <w:p>
      <w:pPr>
        <w:pStyle w:val="Normal"/>
        <w:tabs>
          <w:tab w:val="clear" w:pos="708"/>
          <w:tab w:val="left" w:pos="6480" w:leader="none"/>
        </w:tabs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</w:r>
    </w:p>
    <w:p>
      <w:pPr>
        <w:pStyle w:val="Normal"/>
        <w:ind w:left="1080" w:hanging="1080"/>
        <w:jc w:val="both"/>
        <w:rPr>
          <w:rFonts w:ascii="Liberation Serif" w:hAnsi="Liberation Serif"/>
          <w:i/>
          <w:i/>
          <w:iCs/>
          <w:u w:val="single"/>
        </w:rPr>
      </w:pPr>
      <w:r>
        <w:rPr>
          <w:rFonts w:ascii="Liberation Serif" w:hAnsi="Liberation Serif"/>
          <w:b/>
        </w:rPr>
        <w:t>Объект:</w:t>
      </w:r>
      <w:r>
        <w:rPr>
          <w:rFonts w:ascii="Liberation Serif" w:hAnsi="Liberation Serif"/>
        </w:rPr>
        <w:t xml:space="preserve"> ПС </w:t>
      </w:r>
      <w:r>
        <w:rPr>
          <w:rFonts w:ascii="Liberation Serif" w:hAnsi="Liberation Serif"/>
          <w:i/>
          <w:iCs/>
          <w:u w:val="single"/>
        </w:rPr>
        <w:t xml:space="preserve">110 кВ </w:t>
      </w:r>
      <w:r>
        <w:rPr>
          <w:rFonts w:ascii="Liberation Serif" w:hAnsi="Liberation Serif"/>
          <w:i/>
          <w:iCs/>
          <w:u w:val="single"/>
        </w:rPr>
        <w:t>Сахарная</w:t>
      </w:r>
    </w:p>
    <w:p>
      <w:pPr>
        <w:pStyle w:val="Normal"/>
        <w:ind w:left="1080" w:hanging="1080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Заказчик:</w:t>
      </w:r>
      <w:r>
        <w:rPr>
          <w:rFonts w:ascii="Liberation Serif" w:hAnsi="Liberation Serif"/>
        </w:rPr>
        <w:t xml:space="preserve"> АО «ДРСК» «ПЭС»</w:t>
      </w:r>
    </w:p>
    <w:p>
      <w:pPr>
        <w:pStyle w:val="Normal"/>
        <w:ind w:left="1080" w:hanging="1080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</w:rPr>
        <w:t>Количество:</w:t>
      </w:r>
      <w:r>
        <w:rPr>
          <w:rFonts w:ascii="Liberation Serif" w:hAnsi="Liberation Serif"/>
        </w:rPr>
        <w:t xml:space="preserve"> 2 шт.</w:t>
      </w:r>
    </w:p>
    <w:p>
      <w:pPr>
        <w:pStyle w:val="Normal"/>
        <w:ind w:left="1080" w:hanging="1080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182"/>
        <w:gridCol w:w="2034"/>
        <w:gridCol w:w="1253"/>
        <w:gridCol w:w="1650"/>
        <w:gridCol w:w="2266"/>
        <w:gridCol w:w="1980"/>
        <w:gridCol w:w="2042"/>
        <w:gridCol w:w="2729"/>
      </w:tblGrid>
      <w:tr>
        <w:trPr>
          <w:trHeight w:val="684" w:hRule="atLeast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 xml:space="preserve">№ </w:t>
            </w:r>
            <w:r>
              <w:rPr>
                <w:rFonts w:ascii="Liberation Serif" w:hAnsi="Liberation Serif"/>
                <w:b/>
              </w:rPr>
              <w:t>п/п</w:t>
            </w:r>
          </w:p>
        </w:tc>
        <w:tc>
          <w:tcPr>
            <w:tcW w:w="49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Наименование параметра</w:t>
            </w:r>
          </w:p>
        </w:tc>
        <w:tc>
          <w:tcPr>
            <w:tcW w:w="22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Требование заказчика</w:t>
            </w:r>
          </w:p>
        </w:tc>
        <w:tc>
          <w:tcPr>
            <w:tcW w:w="40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Способ подтверждения участником соответствия требованиям</w:t>
            </w:r>
          </w:p>
        </w:tc>
        <w:tc>
          <w:tcPr>
            <w:tcW w:w="27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Предложение участника по характеристикам и параметрам</w:t>
            </w:r>
          </w:p>
        </w:tc>
      </w:tr>
      <w:tr>
        <w:trPr>
          <w:trHeight w:val="684" w:hRule="atLeast"/>
        </w:trPr>
        <w:tc>
          <w:tcPr>
            <w:tcW w:w="118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4937" w:type="dxa"/>
            <w:gridSpan w:val="3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266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Согласие с требованием/ 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Предоставление подтверждающего документа на этапе закупки</w:t>
            </w:r>
          </w:p>
        </w:tc>
        <w:tc>
          <w:tcPr>
            <w:tcW w:w="272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33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Основные параметры</w:t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Изготовитель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Указать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Заводской тип (марка)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ТДН-1</w:t>
            </w: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6</w:t>
            </w: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000/110/6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- Декларация о соответствии.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- Руководство по эксплуатации.</w:t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85" w:hRule="atLeast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1.3</w:t>
            </w:r>
          </w:p>
        </w:tc>
        <w:tc>
          <w:tcPr>
            <w:tcW w:w="328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 xml:space="preserve">Номинальная мощность обмоток, кВА </w:t>
            </w:r>
            <w:r>
              <w:rPr>
                <w:rFonts w:eastAsia="Calibri" w:ascii="Liberation Serif" w:hAnsi="Liberation Serif"/>
                <w:lang w:eastAsia="en-US"/>
              </w:rPr>
              <w:t>(ГОСТ 9680 п.2)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ВН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1</w:t>
            </w:r>
            <w:r>
              <w:rPr>
                <w:rFonts w:ascii="Liberation Serif" w:hAnsi="Liberation Serif"/>
                <w:i/>
                <w:iCs/>
              </w:rPr>
              <w:t>6</w:t>
            </w:r>
            <w:r>
              <w:rPr>
                <w:rFonts w:ascii="Liberation Serif" w:hAnsi="Liberation Serif"/>
                <w:i/>
                <w:iCs/>
              </w:rPr>
              <w:t xml:space="preserve"> 000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85" w:hRule="atLeast"/>
        </w:trPr>
        <w:tc>
          <w:tcPr>
            <w:tcW w:w="1182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287" w:type="dxa"/>
            <w:gridSpan w:val="2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НН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1</w:t>
            </w:r>
            <w:r>
              <w:rPr>
                <w:rFonts w:ascii="Liberation Serif" w:hAnsi="Liberation Serif"/>
                <w:i/>
                <w:iCs/>
              </w:rPr>
              <w:t>6</w:t>
            </w:r>
            <w:r>
              <w:rPr>
                <w:rFonts w:ascii="Liberation Serif" w:hAnsi="Liberation Serif"/>
                <w:i/>
                <w:iCs/>
              </w:rPr>
              <w:t xml:space="preserve"> 000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85" w:hRule="atLeast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1.4</w:t>
            </w:r>
          </w:p>
        </w:tc>
        <w:tc>
          <w:tcPr>
            <w:tcW w:w="328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Номинальное напряжение, кВ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ВН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115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85" w:hRule="atLeast"/>
        </w:trPr>
        <w:tc>
          <w:tcPr>
            <w:tcW w:w="1182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287" w:type="dxa"/>
            <w:gridSpan w:val="2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НН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6,6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lang w:val="en-US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Номинальная частота, Гц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50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Схема и группа соединения обмоток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Ун/Д-11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lang w:val="en-US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1.7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 xml:space="preserve">Ток холостого хода, %, не более, 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0,7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1.8</w:t>
            </w:r>
          </w:p>
        </w:tc>
        <w:tc>
          <w:tcPr>
            <w:tcW w:w="3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lang w:val="en-US"/>
              </w:rPr>
              <w:t>Напряжение короткого замыкания, кВА, %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ВН-НН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10,5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lang w:val="en-US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1.9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Потери холостого хода, не более, кВт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18,0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1.10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Потери КЗ, не более, кВт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85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lang w:val="en-US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1.11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Calibri" w:ascii="Liberation Serif" w:hAnsi="Liberation Serif"/>
                <w:lang w:eastAsia="en-US"/>
              </w:rPr>
              <w:t>Предусматривается параллельная работа (да/нет)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1.12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Способ и диапазон регулирования (по ГОСТ 12965-85)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eastAsia="Calibri"/>
                <w:i/>
                <w:i/>
                <w:iCs/>
                <w:lang w:eastAsia="en-US"/>
              </w:rPr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 xml:space="preserve">РПН в нейтрали ВН 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± 16 %; ± 9 ступеней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2.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Требования к материалам (марки, типы и производители основных комплектующих)</w:t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center"/>
              <w:rPr/>
            </w:pPr>
            <w:r>
              <w:rPr>
                <w:rFonts w:ascii="Liberation Serif" w:hAnsi="Liberation Serif"/>
              </w:rPr>
              <w:t>2.1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Масло (по ТУ 38.1011025-85)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ГК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center"/>
              <w:rPr/>
            </w:pPr>
            <w:r>
              <w:rPr>
                <w:rFonts w:ascii="Liberation Serif" w:hAnsi="Liberation Serif"/>
              </w:rPr>
              <w:t>2.2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Требование к контрольным кабелям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jc w:val="center"/>
              <w:rPr>
                <w:color w:val="auto"/>
              </w:rPr>
            </w:pPr>
            <w:r>
              <w:rPr>
                <w:rFonts w:eastAsia="Calibri" w:ascii="Liberation Serif" w:hAnsi="Liberation Serif"/>
                <w:color w:val="auto"/>
                <w:lang w:eastAsia="en-US"/>
              </w:rPr>
              <w:t>Негорючая изоляция (нгLS)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3.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Требования к конструкции</w:t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center"/>
              <w:rPr/>
            </w:pPr>
            <w:r>
              <w:rPr>
                <w:rFonts w:ascii="Liberation Serif" w:hAnsi="Liberation Serif"/>
                <w:b/>
              </w:rPr>
              <w:t>3.1.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  <w:b/>
              </w:rPr>
              <w:t>Высоковольтные вводы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center"/>
              <w:rPr/>
            </w:pPr>
            <w:r>
              <w:rPr>
                <w:rFonts w:ascii="Liberation Serif" w:hAnsi="Liberation Serif"/>
              </w:rPr>
              <w:t>3.1.1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Конструкция вводов ВН (</w:t>
            </w:r>
            <w:r>
              <w:rPr>
                <w:rFonts w:ascii="Liberation Serif" w:hAnsi="Liberation Serif"/>
                <w:spacing w:val="-2"/>
              </w:rPr>
              <w:t>с твердой изоляцией или маслоподпорный)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spacing w:val="-2"/>
                <w:lang w:eastAsia="en-US"/>
              </w:rPr>
              <w:t>С твердой изоляцией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284" w:hanging="247"/>
              <w:jc w:val="center"/>
              <w:rPr/>
            </w:pPr>
            <w:r>
              <w:rPr>
                <w:rFonts w:ascii="Liberation Serif" w:hAnsi="Liberation Serif"/>
              </w:rPr>
              <w:t>3.1.2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Конструкция вводов НН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spacing w:val="-2"/>
              </w:rPr>
              <w:t>маслоподпорный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284" w:hanging="247"/>
              <w:jc w:val="center"/>
              <w:rPr/>
            </w:pPr>
            <w:r>
              <w:rPr>
                <w:rFonts w:ascii="Liberation Serif" w:hAnsi="Liberation Serif"/>
              </w:rPr>
              <w:t>3.1.3</w:t>
            </w:r>
          </w:p>
        </w:tc>
        <w:tc>
          <w:tcPr>
            <w:tcW w:w="493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Тип  твердой изоляции вводов ВН</w:t>
            </w:r>
          </w:p>
        </w:tc>
        <w:tc>
          <w:tcPr>
            <w:tcW w:w="22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RIN изоляция</w:t>
            </w:r>
          </w:p>
        </w:tc>
        <w:tc>
          <w:tcPr>
            <w:tcW w:w="19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jc w:val="center"/>
              <w:rPr/>
            </w:pPr>
            <w:r>
              <w:rPr>
                <w:rFonts w:ascii="Liberation Serif" w:hAnsi="Liberation Serif"/>
              </w:rPr>
              <w:t>3.1.4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Удельная длина пути утечки внешней изоляции по ПУЭ 7-го издания, см/кВ, не менее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2,5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  <w:b/>
                <w:bCs/>
              </w:rPr>
              <w:t>3.2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rPr/>
            </w:pPr>
            <w:r>
              <w:rPr>
                <w:rFonts w:ascii="Liberation Serif" w:hAnsi="Liberation Serif"/>
                <w:b/>
                <w:bCs/>
              </w:rPr>
              <w:t>Габаритно-массовые характеристики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3.2.1</w:t>
            </w:r>
          </w:p>
        </w:tc>
        <w:tc>
          <w:tcPr>
            <w:tcW w:w="493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Габаритные размеры, не более, мм: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длина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ширина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высота</w:t>
            </w:r>
          </w:p>
        </w:tc>
        <w:tc>
          <w:tcPr>
            <w:tcW w:w="22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>габаритный и сборочный чертежи</w:t>
            </w:r>
          </w:p>
        </w:tc>
        <w:tc>
          <w:tcPr>
            <w:tcW w:w="27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3.2.2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Масса, кг, не более: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Транспортная (без масла)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полная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масла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  <w:b/>
              </w:rPr>
              <w:t>3.3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  <w:b/>
              </w:rPr>
              <w:t>Встроенные трансформаторы тока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b/>
              </w:rPr>
            </w:pPr>
            <w:r>
              <w:rPr>
                <w:rFonts w:ascii="Liberation Serif" w:hAnsi="Liberation Serif"/>
                <w:b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 вводах ВН: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Количество (на фазу), не менее, шт.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3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Первичный ток, А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>- для защиты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для измерения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для учета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300-200-150-100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Вторичный ток, 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3.3.4</w:t>
            </w:r>
          </w:p>
        </w:tc>
        <w:tc>
          <w:tcPr>
            <w:tcW w:w="20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Обмотки № 1, 2 – защита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Класс точности, %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10</w:t>
            </w:r>
            <w:r>
              <w:rPr>
                <w:rFonts w:eastAsia="Calibri" w:ascii="Liberation Serif" w:hAnsi="Liberation Serif"/>
                <w:i/>
                <w:iCs/>
                <w:lang w:val="en-US" w:eastAsia="en-US"/>
              </w:rPr>
              <w:t>PR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03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Вторичная нагрузка, ВА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rFonts w:eastAsia="Calibri"/>
                <w:i/>
                <w:iCs/>
                <w:lang w:val="en-US" w:eastAsia="en-US"/>
              </w:rPr>
              <w:t>30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03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color="auto" w:fill="FFFF00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ISOCPEUR" w:ascii="Liberation Serif" w:hAnsi="Liberation Serif"/>
              </w:rPr>
              <w:t>Номинальная предельная кратность вторичных обмоток для РЗ, не менее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rFonts w:eastAsia="Calibri"/>
                <w:i/>
                <w:iCs/>
                <w:lang w:val="en-US" w:eastAsia="en-US"/>
              </w:rPr>
              <w:t>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lang w:val="en-US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3.3.5</w:t>
            </w:r>
          </w:p>
        </w:tc>
        <w:tc>
          <w:tcPr>
            <w:tcW w:w="20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Обмотки № 3  – измерение</w:t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Класс точности, %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lang w:val="en-US" w:eastAsia="en-US"/>
              </w:rPr>
              <w:t>0.2S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03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Вторичная нагрузка, ВА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lang w:val="en-US"/>
              </w:rPr>
            </w:pPr>
            <w:r>
              <w:rPr>
                <w:rFonts w:eastAsia="Calibri"/>
                <w:i/>
                <w:iCs/>
                <w:lang w:val="en-US" w:eastAsia="en-US"/>
              </w:rPr>
              <w:t>30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034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903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eastAsia="ISOCPEUR" w:ascii="Liberation Serif" w:hAnsi="Liberation Serif"/>
              </w:rPr>
              <w:t>Коэффициент защиты приборов обмотки для измерения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/>
                <w:i/>
                <w:iCs/>
                <w:lang w:eastAsia="en-US"/>
              </w:rPr>
              <w:t>Уточняется дополнительно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Все ответвления трансформаторов тока должны быть выведены в коробку для присоединения кабелей (да/нет)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3.3.7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Периодичность поверок классов точности в эксплуатации трансформаторов тока, не менее лет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8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360" w:leader="none"/>
              </w:tabs>
              <w:ind w:left="113" w:hanging="0"/>
              <w:jc w:val="center"/>
              <w:rPr/>
            </w:pPr>
            <w:r>
              <w:rPr>
                <w:rFonts w:ascii="Liberation Serif" w:hAnsi="Liberation Serif"/>
              </w:rPr>
              <w:t>3.3.8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 xml:space="preserve">Техническая документация к 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трансформатору тока на русском языке: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Symbol" w:cs="Symbol" w:ascii="Liberation Serif" w:hAnsi="Liberation Serif"/>
              </w:rPr>
              <w:t></w:t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>паспорт;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Symbol" w:cs="Symbol" w:ascii="Liberation Serif" w:hAnsi="Liberation Serif"/>
              </w:rPr>
              <w:t></w:t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 xml:space="preserve">руководство по эксплуатации, 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включающее указания по транспортированию, хранению, монтажу и вводу в эксплуатацию;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Symbol" w:cs="Symbol" w:ascii="Liberation Serif" w:hAnsi="Liberation Serif"/>
              </w:rPr>
              <w:t></w:t>
            </w:r>
            <w:r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>копии протоколов приёмо-сдаточных испытаний;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Symbol" w:cs="Symbol" w:ascii="Liberation Serif" w:hAnsi="Liberation Serif"/>
              </w:rPr>
              <w:t></w:t>
            </w:r>
            <w:r>
              <w:rPr>
                <w:rFonts w:ascii="Liberation Serif" w:hAnsi="Liberation Serif"/>
              </w:rPr>
              <w:t>сертификат безопасности;</w:t>
            </w:r>
          </w:p>
          <w:p>
            <w:pPr>
              <w:pStyle w:val="Normal"/>
              <w:widowControl w:val="false"/>
              <w:rPr/>
            </w:pPr>
            <w:r>
              <w:rPr>
                <w:rFonts w:eastAsia="Symbol" w:cs="Symbol" w:ascii="Liberation Serif" w:hAnsi="Liberation Serif"/>
              </w:rPr>
              <w:t></w:t>
            </w:r>
            <w:r>
              <w:rPr>
                <w:rFonts w:ascii="Liberation Serif" w:hAnsi="Liberation Serif"/>
              </w:rPr>
              <w:t>свидетельство о поверке;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сертификат об утверждении типа средств измерения;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сертификат соответствия ГОСТ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b/>
              </w:rPr>
              <w:t>4.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Устройство регулирования напряжения</w:t>
            </w:r>
          </w:p>
        </w:tc>
      </w:tr>
      <w:tr>
        <w:trPr>
          <w:trHeight w:val="25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4.1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Марка, производитель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jc w:val="center"/>
              <w:rPr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Указывается   поставщиком/изготовителем.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4.2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Механический ресурс контактора, количество переключений в соответствии с СТО 56947007-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29.180.01.275-2019, не менее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500 000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4.3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Привод РПН должен быть оборудован системой обогрева (да/нет)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4.4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Напряжение питания РПН, В: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двигателей</w:t>
              <w:tab/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цепей управления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цепей сигнализации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eastAsia="Calibri"/>
                <w:lang w:eastAsia="en-US"/>
              </w:rPr>
            </w:pPr>
            <w:r>
              <w:rPr>
                <w:rFonts w:eastAsia="Calibri" w:ascii="Liberation Serif" w:hAnsi="Liberation Serif"/>
                <w:lang w:eastAsia="en-US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⁓</w:t>
            </w:r>
            <w:r>
              <w:rPr>
                <w:rFonts w:eastAsia="Calibri" w:ascii="Liberation Serif" w:hAnsi="Liberation Serif"/>
                <w:lang w:eastAsia="en-US"/>
              </w:rPr>
              <w:t>380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⁓</w:t>
            </w:r>
            <w:r>
              <w:rPr>
                <w:rFonts w:eastAsia="Calibri" w:ascii="Liberation Serif" w:hAnsi="Liberation Serif"/>
                <w:lang w:eastAsia="en-US"/>
              </w:rPr>
              <w:t>220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=220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196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4.5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Тип привода устройства РПН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Моторный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196" w:hRule="atLeast"/>
        </w:trPr>
        <w:tc>
          <w:tcPr>
            <w:tcW w:w="11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4.6</w:t>
            </w:r>
          </w:p>
        </w:tc>
        <w:tc>
          <w:tcPr>
            <w:tcW w:w="493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Привод устройства РПН должен обеспечивать управление:</w:t>
            </w:r>
          </w:p>
          <w:p>
            <w:pPr>
              <w:pStyle w:val="NoSpacing"/>
              <w:widowControl w:val="false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- местное - от ключа (кнопки) управления;</w:t>
            </w:r>
          </w:p>
          <w:p>
            <w:pPr>
              <w:pStyle w:val="NoSpacing"/>
              <w:widowControl w:val="false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-дистанционное - со щита управления;</w:t>
            </w:r>
          </w:p>
          <w:p>
            <w:pPr>
              <w:pStyle w:val="Standard"/>
              <w:widowControl w:val="false"/>
              <w:rPr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-автоматическое - от блока автоматического управления.</w:t>
            </w:r>
          </w:p>
        </w:tc>
        <w:tc>
          <w:tcPr>
            <w:tcW w:w="22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</w:r>
          </w:p>
          <w:p>
            <w:pPr>
              <w:pStyle w:val="NoSpacing"/>
              <w:widowControl w:val="false"/>
              <w:jc w:val="center"/>
              <w:rPr/>
            </w:pPr>
            <w:r>
              <w:rPr/>
            </w:r>
          </w:p>
          <w:p>
            <w:pPr>
              <w:pStyle w:val="NoSpacing"/>
              <w:widowControl w:val="false"/>
              <w:jc w:val="center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  <w:p>
            <w:pPr>
              <w:pStyle w:val="NoSpacing"/>
              <w:widowControl w:val="false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  <w:p>
            <w:pPr>
              <w:pStyle w:val="NoSpacing"/>
              <w:widowControl w:val="false"/>
              <w:jc w:val="center"/>
              <w:rPr/>
            </w:pPr>
            <w:r>
              <w:rPr>
                <w:rFonts w:ascii="Liberation Serif" w:hAnsi="Liberation Serif"/>
                <w:sz w:val="24"/>
                <w:szCs w:val="24"/>
              </w:rPr>
              <w:t>Да</w:t>
            </w:r>
          </w:p>
          <w:p>
            <w:pPr>
              <w:pStyle w:val="Standard"/>
              <w:widowControl w:val="false"/>
              <w:jc w:val="center"/>
              <w:rPr>
                <w:rFonts w:ascii="Liberation Serif" w:hAnsi="Liberation Serif"/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</w:r>
          </w:p>
          <w:p>
            <w:pPr>
              <w:pStyle w:val="Standard"/>
              <w:widowControl w:val="false"/>
              <w:jc w:val="center"/>
              <w:rPr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Да</w:t>
            </w:r>
          </w:p>
        </w:tc>
        <w:tc>
          <w:tcPr>
            <w:tcW w:w="19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widowControl w:val="false"/>
              <w:spacing w:lineRule="auto" w:line="252" w:before="0" w:after="0"/>
              <w:ind w:left="113" w:hanging="0"/>
              <w:contextualSpacing/>
              <w:jc w:val="center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</w:r>
          </w:p>
        </w:tc>
        <w:tc>
          <w:tcPr>
            <w:tcW w:w="27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  <w:b/>
              </w:rPr>
              <w:t>5.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  <w:b/>
              </w:rPr>
              <w:t>Система охлаждения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/>
            </w:pPr>
            <w:r>
              <w:rPr>
                <w:rFonts w:ascii="Liberation Serif" w:hAnsi="Liberation Serif"/>
              </w:rPr>
              <w:t>5.1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Тип системы охлаждения М, Д, М/Д, М/Д/ДЦ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i/>
                <w:iCs/>
                <w:lang w:eastAsia="en-US"/>
              </w:rPr>
              <w:t>Д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/>
            </w:pPr>
            <w:r>
              <w:rPr>
                <w:rFonts w:ascii="Liberation Serif" w:hAnsi="Liberation Serif"/>
              </w:rPr>
              <w:t>5.2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Компоновка охладителей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Навесная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1729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/>
            </w:pPr>
            <w:r>
              <w:rPr>
                <w:rFonts w:ascii="Liberation Serif" w:hAnsi="Liberation Serif"/>
              </w:rPr>
              <w:t>5.3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Конструкция охлаждающих устройств (радиаторов)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Пластинчатая (плоскоштампованные радиаторы, оцинкованные методом горячего оцинкования с покраской,)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80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/>
            </w:pPr>
            <w:r>
              <w:rPr>
                <w:rFonts w:ascii="Liberation Serif" w:hAnsi="Liberation Serif"/>
              </w:rPr>
              <w:t>5.4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Количество охладителей/из них резервных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356" w:hRule="atLeast"/>
        </w:trPr>
        <w:tc>
          <w:tcPr>
            <w:tcW w:w="1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/>
            </w:pPr>
            <w:r>
              <w:rPr>
                <w:rFonts w:ascii="Liberation Serif" w:hAnsi="Liberation Serif"/>
              </w:rPr>
              <w:t>5.5</w:t>
            </w:r>
          </w:p>
        </w:tc>
        <w:tc>
          <w:tcPr>
            <w:tcW w:w="3287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Напряжение питания системы охлаждения, РПН, В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 xml:space="preserve">Двигателей 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⁓</w:t>
            </w:r>
            <w:r>
              <w:rPr>
                <w:rFonts w:ascii="Liberation Serif" w:hAnsi="Liberation Serif"/>
              </w:rPr>
              <w:t>380/⁓220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356" w:hRule="atLeast"/>
        </w:trPr>
        <w:tc>
          <w:tcPr>
            <w:tcW w:w="1182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287" w:type="dxa"/>
            <w:gridSpan w:val="2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 xml:space="preserve">Цепей управления 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⁓</w:t>
            </w:r>
            <w:r>
              <w:rPr>
                <w:rFonts w:ascii="Liberation Serif" w:hAnsi="Liberation Serif"/>
              </w:rPr>
              <w:t>220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612" w:hRule="atLeast"/>
        </w:trPr>
        <w:tc>
          <w:tcPr>
            <w:tcW w:w="1182" w:type="dxa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3287" w:type="dxa"/>
            <w:gridSpan w:val="2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Цепей сигнализации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=220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356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71" w:hanging="115"/>
              <w:jc w:val="center"/>
              <w:rPr/>
            </w:pPr>
            <w:r>
              <w:rPr>
                <w:rFonts w:ascii="Liberation Serif" w:hAnsi="Liberation Serif"/>
              </w:rPr>
              <w:t>5.6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Автоматическое управление системой охлаждения (да/нет)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334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  <w:b/>
              </w:rPr>
              <w:t>6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Технические требования к конструкции, изготовлению и материалам</w:t>
            </w:r>
          </w:p>
        </w:tc>
      </w:tr>
      <w:tr>
        <w:trPr>
          <w:trHeight w:val="277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Уровень разъема бака согласно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п. Г 20 ГОСТ Р 52719-2007 (нижний, верхний)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jc w:val="center"/>
              <w:rPr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13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Заземление активной части (с выводом наружу бака)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13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Режим работы нейтрали ВН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Глухое заземление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(допускается работа с разземленной нейтралью при условии защиты нейтрали)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Наличие устройств раскрепления активной части в баке от смещения (да, нет)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При транспортировке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 xml:space="preserve">В эксплуатации 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Устройство защиты масла от контакта с окружающим воздухом (пленочная защита)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i/>
                <w:i/>
              </w:rPr>
            </w:pPr>
            <w:r>
              <w:rPr>
                <w:rFonts w:ascii="Liberation Serif" w:hAnsi="Liberation Serif"/>
                <w:i/>
              </w:rPr>
              <w:t>Нет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Наличие термосифонного фильтра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6.7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Газовое реле: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 основном баке -  с двумя н. о. контактами на откл.  и двумя н.о. контактами  на сигнал 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6.8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Струйное реле: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 баке РПН - с двумя н. о. контактами на откл.  и  один   н.о. контакт  на сигнал 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6.9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Предохранительные клапаны с контактами для сигнализации о срабатывании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6.10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Тип и производитель необслуживаемого воздухоосушителя: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на основной отсек расширителя</w:t>
            </w:r>
          </w:p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- на отсек РПН расширителя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ind w:left="-79" w:right="-79" w:hanging="0"/>
              <w:jc w:val="center"/>
              <w:rPr>
                <w:color w:val="auto"/>
              </w:rPr>
            </w:pPr>
            <w:r>
              <w:rPr>
                <w:rFonts w:ascii="Liberation Serif" w:hAnsi="Liberation Serif"/>
                <w:color w:val="auto"/>
              </w:rPr>
              <w:t>Указать марку и производителя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6.11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Срок службы уплотнительной резины не менее, лет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30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/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6.12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Отсутствие необходимости подпрессовки обмоток и магнитопровода на весь срок службы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6.13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Цвет покраски трансформатора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Серый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  <w:lang w:val="en-US"/>
              </w:rPr>
            </w:pPr>
            <w:r>
              <w:rPr>
                <w:rFonts w:ascii="Liberation Serif" w:hAnsi="Liberation Serif"/>
                <w:lang w:val="en-US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6.14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 местах прохода контрольных кабелей в клеммные коробки, шкафы управления, приводы должно быть обеспечено надежное заземление экранов кабелей с применением специальных приспособлений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6.15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Наличие деталей и накладок для установки и крепления трансформатора для обеспечения сейсмостойкости и уклона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  <w:b/>
              </w:rPr>
              <w:t>7.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b/>
                <w:lang w:eastAsia="en-US"/>
              </w:rPr>
              <w:t>Номинальные значения климатических факторов внешней среды</w:t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7.1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Климатическое исполнение (У, ХЛ) и категория размещения по ГОСТ 15150-69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i/>
                <w:iCs/>
              </w:rPr>
              <w:t>УХЛ1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7.2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Сейсмичность района, не менее баллов по шкале MSK-64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Calibri" w:ascii="Liberation Serif" w:hAnsi="Liberation Serif"/>
                <w:lang w:eastAsia="en-US"/>
              </w:rPr>
              <w:t>6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8.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Требования по надежности</w:t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Срок службы до первого капитального ремонта, лет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Отсутствие необходимости капитального ремонта в течение всего срока службы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Руководство по эксплуатации</w:t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8.2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Срок службы, лет не менее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30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9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Требования по безопасности</w:t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Требования безопасности, в том числе пожарной (ГОСТ Р 52719-2007, п. 7.1, ГОСТ 12.2.007.2-75,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ГОСТ 12.1.004-91)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Лестница, прикрепленная к баку, и упоры (ГОСТ12.2.007.2-75)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eastAsia="Calibri" w:ascii="Liberation Serif" w:hAnsi="Liberation Serif"/>
                <w:lang w:eastAsia="en-US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Наличие креплений для установки анкерных устройств (анкерных столбов, анкерных линий) с целью обеспечения безопасной работы на оборудовании высотой более 1,8 м. (Правила по охране труда при работе на высоте, утвержденные приказом </w:t>
            </w:r>
            <w:r>
              <w:rPr>
                <w:rFonts w:eastAsia="Calibri" w:ascii="Liberation Serif" w:hAnsi="Liberation Serif" w:eastAsiaTheme="minorHAnsi"/>
                <w:lang w:eastAsia="en-US"/>
              </w:rPr>
              <w:t>16.11.2020 N 782н)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Трансформатор трехфазный с комплектующими изделиями в соответствии с нормативной документацией по ГОСТ 17544-93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Отправка (с маслом, без масла)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 маслом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Указатель уровня масла в расширителе со шкалой и возможностью дистанционного контроля уровня масла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9.7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Термометры манометрические температуры масла, один или два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  <w:i/>
                <w:iCs/>
              </w:rPr>
              <w:t>2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9.8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Устройство для отбора проб газа из газового реле без подъема на трансформатор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9.9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Тип отсечного клапана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9.10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Шкафы управления и сигнализации должны быть оцинкованными или изготовлены из нержавеющих материалов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9.11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Шкаф автоматики системы охлаждения: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автоматическое поддержание температуры внутри шкафа для нормальной работы в соответствии с климатическим исполнением трансформатора;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 xml:space="preserve">- степень защиты шкафа не ниже </w:t>
            </w:r>
            <w:r>
              <w:rPr>
                <w:rFonts w:ascii="Liberation Serif" w:hAnsi="Liberation Serif"/>
                <w:lang w:val="en-US"/>
              </w:rPr>
              <w:t>IP</w:t>
            </w:r>
            <w:r>
              <w:rPr>
                <w:rFonts w:ascii="Liberation Serif" w:hAnsi="Liberation Serif"/>
              </w:rPr>
              <w:t>55 по ГОСТ 14254-96;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Наличие контроля доступа в шкаф с сигнализацией;</w:t>
            </w:r>
          </w:p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плавный пуск и токовая защита электродвигателей вентиляторов обдува.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9.12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Расположение домкратных площадок и проушин для подъёма должно быть на дне бака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Определяется поставщиком/изготовителем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9.13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Обязательное предоставление габаритного и сборочного чертежа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Да, на этапе проведения закупки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Указание характеристик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ListParagraph"/>
              <w:widowControl w:val="false"/>
              <w:spacing w:lineRule="auto" w:line="252" w:before="0" w:after="0"/>
              <w:ind w:left="113" w:hanging="0"/>
              <w:contextualSpacing/>
              <w:jc w:val="center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-Габаритный и сборочный чертежи</w:t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9.14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Эксплуатационная документация (Технический паспорт, Протоколы испытаний, Руководство по эксплуатации и техническое описание) на русском языке, экз./ компл. и в электронном виде.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2 экз.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10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Маркировка, упаковка, транспортировка, условия хранения</w:t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Маркировка, упаковка и консервация по ГОСТ Р 52719-2007 или по требованиям МЭК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Передвижение трансформатора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Продольно–поперечное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Наличие и форма катков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да, с ребордой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Наличие датчика «шок-индикатора» на баке трансформатора для контроля условий транспортировки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Условия хранения, срок хранения, отдельно хранящихся деталей, сборочных единиц, ЗИП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По ГОСТ 52</w:t>
            </w:r>
            <w:r>
              <w:rPr>
                <w:rFonts w:ascii="Liberation Serif" w:hAnsi="Liberation Serif"/>
                <w:lang w:val="en-US"/>
              </w:rPr>
              <w:t>7</w:t>
            </w:r>
            <w:r>
              <w:rPr>
                <w:rFonts w:ascii="Liberation Serif" w:hAnsi="Liberation Serif"/>
              </w:rPr>
              <w:t>19-2007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10.6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Монтаж трансформатора выполняется с участием шеф-инженера фирмы Производителя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11</w:t>
            </w:r>
          </w:p>
        </w:tc>
        <w:tc>
          <w:tcPr>
            <w:tcW w:w="1395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b/>
              </w:rPr>
              <w:t>Дополнительные требования</w:t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11.1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Тип внешней изоляции вводов ВН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Фарфор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11.2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Конструкция магнитопровода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Полный косой стык, схема стэп-лэп.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11.3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Указатель температуры масла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Приборы мониторинга температуры трансформатора ТМТ2 - 2 шт.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11.4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Трансформатор в полном комплекте по ГОСТ 52719-2007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11.5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Трансформаторное масло в количестве необходимом для доливки трансформатора с учетом промывки навесного оборудования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11.6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Силикагель типа КСКГ ГОСТ-3956, готовый к полной заправке термосифонных фильтров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11.7</w:t>
            </w:r>
          </w:p>
        </w:tc>
        <w:tc>
          <w:tcPr>
            <w:tcW w:w="4937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Контактные наконечники для подсоединения к шинному мосту 110, 6 кВ</w:t>
            </w:r>
          </w:p>
        </w:tc>
        <w:tc>
          <w:tcPr>
            <w:tcW w:w="22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11.8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Металлорукав по баку трансформатора для прокладки силовых и контрольных кабелей системы охлаждения, контрольных кабелей от приборов контроля, сигнализации, защиты трансформаторов тока до клеммных шкафов (да, нет)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/>
            </w:pPr>
            <w:r>
              <w:rPr>
                <w:rFonts w:ascii="Liberation Serif" w:hAnsi="Liberation Serif"/>
              </w:rPr>
              <w:t>14.9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/>
            </w:pPr>
            <w:r>
              <w:rPr>
                <w:rFonts w:ascii="Liberation Serif" w:hAnsi="Liberation Serif"/>
              </w:rPr>
              <w:t>Вывод трансформатора из</w:t>
            </w:r>
            <w:bookmarkStart w:id="0" w:name="_GoBack"/>
            <w:bookmarkEnd w:id="0"/>
            <w:r>
              <w:rPr>
                <w:rFonts w:ascii="Liberation Serif" w:hAnsi="Liberation Serif"/>
              </w:rPr>
              <w:t xml:space="preserve"> транспортного состояния (для длительного хранения) на объекте Заказчика с участием специалиста завода-изготовителя (в т.ч. для сохранения гарантии)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  <w:tr>
        <w:trPr>
          <w:trHeight w:val="252" w:hRule="atLeast"/>
        </w:trPr>
        <w:tc>
          <w:tcPr>
            <w:tcW w:w="1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459" w:hanging="459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14.10</w:t>
            </w:r>
          </w:p>
        </w:tc>
        <w:tc>
          <w:tcPr>
            <w:tcW w:w="49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  <w:t>Оборудование для постановки на фундамент и ввода в работу (гидротолкатели, дегазационная установка), поставляется в комплекте с ЗиП да/нет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Да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rFonts w:ascii="Liberation Serif" w:hAnsi="Liberation Serif"/>
              </w:rPr>
              <w:t>Согласие с требованием</w:t>
            </w:r>
          </w:p>
        </w:tc>
        <w:tc>
          <w:tcPr>
            <w:tcW w:w="20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  <w:tc>
          <w:tcPr>
            <w:tcW w:w="27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</w:r>
          </w:p>
        </w:tc>
      </w:tr>
    </w:tbl>
    <w:p>
      <w:pPr>
        <w:pStyle w:val="Normal"/>
        <w:ind w:left="1080" w:hanging="1080"/>
        <w:jc w:val="both"/>
        <w:rPr>
          <w:rFonts w:ascii="Liberation Serif" w:hAnsi="Liberation Serif"/>
          <w:b/>
          <w:bCs/>
          <w:lang w:val="x-none" w:eastAsia="x-none"/>
        </w:rPr>
      </w:pPr>
      <w:r>
        <w:rPr>
          <w:rFonts w:ascii="Liberation Serif" w:hAnsi="Liberation Serif"/>
          <w:b/>
          <w:bCs/>
          <w:lang w:val="x-none" w:eastAsia="x-none"/>
        </w:rPr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Примечания:</w:t>
      </w:r>
    </w:p>
    <w:p>
      <w:pPr>
        <w:pStyle w:val="Normal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Во всем неоговоренном силовые трансформаторы должны соответствовать требованиям ГОСТ 12965-85, ГОСТ Р 52719-2007.</w:t>
      </w:r>
    </w:p>
    <w:sectPr>
      <w:type w:val="nextPage"/>
      <w:pgSz w:orient="landscape" w:w="16838" w:h="11906"/>
      <w:pgMar w:left="1134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alibri Light">
    <w:charset w:val="cc"/>
    <w:family w:val="roman"/>
    <w:pitch w:val="variable"/>
  </w:font>
  <w:font w:name="Segoe UI">
    <w:charset w:val="cc"/>
    <w:family w:val="roman"/>
    <w:pitch w:val="variable"/>
  </w:font>
  <w:font w:name="Courier New">
    <w:charset w:val="cc"/>
    <w:family w:val="roman"/>
    <w:pitch w:val="variable"/>
  </w:font>
  <w:font w:name="Cambria">
    <w:charset w:val="cc"/>
    <w:family w:val="roman"/>
    <w:pitch w:val="variable"/>
  </w:font>
  <w:font w:name="Verdana">
    <w:charset w:val="cc"/>
    <w:family w:val="roman"/>
    <w:pitch w:val="variable"/>
  </w:font>
  <w:font w:name="TimesNewRomanPSMT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a3d8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1">
    <w:name w:val="Heading 1"/>
    <w:basedOn w:val="Normal"/>
    <w:next w:val="Normal"/>
    <w:link w:val="11"/>
    <w:qFormat/>
    <w:rsid w:val="009a3d82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link w:val="211"/>
    <w:qFormat/>
    <w:rsid w:val="009a3d82"/>
    <w:pPr>
      <w:keepNext w:val="true"/>
      <w:jc w:val="center"/>
      <w:outlineLvl w:val="1"/>
    </w:pPr>
    <w:rPr>
      <w:rFonts w:eastAsia="Arial Unicode MS"/>
      <w:b/>
      <w:sz w:val="36"/>
      <w:szCs w:val="20"/>
    </w:rPr>
  </w:style>
  <w:style w:type="paragraph" w:styleId="3">
    <w:name w:val="Heading 3"/>
    <w:basedOn w:val="Normal"/>
    <w:next w:val="Normal"/>
    <w:link w:val="31"/>
    <w:qFormat/>
    <w:rsid w:val="009a3d82"/>
    <w:pPr>
      <w:keepNext w:val="true"/>
      <w:tabs>
        <w:tab w:val="clear" w:pos="708"/>
        <w:tab w:val="left" w:pos="720" w:leader="none"/>
      </w:tabs>
      <w:spacing w:before="240" w:after="60"/>
      <w:ind w:left="680" w:right="284" w:hanging="113"/>
      <w:outlineLvl w:val="2"/>
    </w:pPr>
    <w:rPr>
      <w:b/>
      <w:szCs w:val="20"/>
      <w:lang w:val="x-none" w:eastAsia="x-none"/>
    </w:rPr>
  </w:style>
  <w:style w:type="paragraph" w:styleId="4">
    <w:name w:val="Heading 4"/>
    <w:basedOn w:val="Normal"/>
    <w:next w:val="Normal"/>
    <w:link w:val="41"/>
    <w:unhideWhenUsed/>
    <w:qFormat/>
    <w:rsid w:val="009a3d82"/>
    <w:pPr>
      <w:keepNext w:val="true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Normal"/>
    <w:next w:val="Normal"/>
    <w:link w:val="51"/>
    <w:uiPriority w:val="99"/>
    <w:qFormat/>
    <w:rsid w:val="009a3d82"/>
    <w:pPr>
      <w:keepNext w:val="true"/>
      <w:ind w:left="5664" w:firstLine="6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Normal"/>
    <w:next w:val="Normal"/>
    <w:link w:val="61"/>
    <w:uiPriority w:val="99"/>
    <w:qFormat/>
    <w:rsid w:val="009a3d82"/>
    <w:pPr>
      <w:keepNext w:val="true"/>
      <w:jc w:val="both"/>
      <w:outlineLvl w:val="5"/>
    </w:pPr>
    <w:rPr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9a3d82"/>
    <w:rPr>
      <w:rFonts w:ascii="Arial" w:hAnsi="Arial" w:eastAsia="Times New Roman" w:cs="Arial"/>
      <w:b/>
      <w:bCs/>
      <w:kern w:val="2"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uiPriority w:val="9"/>
    <w:semiHidden/>
    <w:qFormat/>
    <w:rsid w:val="009a3d82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  <w:lang w:eastAsia="ru-RU"/>
    </w:rPr>
  </w:style>
  <w:style w:type="character" w:styleId="31" w:customStyle="1">
    <w:name w:val="Заголовок 3 Знак"/>
    <w:basedOn w:val="DefaultParagraphFont"/>
    <w:qFormat/>
    <w:rsid w:val="009a3d82"/>
    <w:rPr>
      <w:rFonts w:ascii="Times New Roman" w:hAnsi="Times New Roman" w:eastAsia="Times New Roman" w:cs="Times New Roman"/>
      <w:b/>
      <w:sz w:val="24"/>
      <w:szCs w:val="20"/>
      <w:lang w:val="x-none" w:eastAsia="x-none"/>
    </w:rPr>
  </w:style>
  <w:style w:type="character" w:styleId="41" w:customStyle="1">
    <w:name w:val="Заголовок 4 Знак"/>
    <w:basedOn w:val="DefaultParagraphFont"/>
    <w:qFormat/>
    <w:rsid w:val="009a3d82"/>
    <w:rPr>
      <w:rFonts w:ascii="Calibri" w:hAnsi="Calibri" w:eastAsia="Times New Roman" w:cs="Times New Roman"/>
      <w:b/>
      <w:bCs/>
      <w:sz w:val="28"/>
      <w:szCs w:val="28"/>
      <w:lang w:eastAsia="ru-RU"/>
    </w:rPr>
  </w:style>
  <w:style w:type="character" w:styleId="51" w:customStyle="1">
    <w:name w:val="Заголовок 5 Знак"/>
    <w:basedOn w:val="DefaultParagraphFont"/>
    <w:uiPriority w:val="99"/>
    <w:qFormat/>
    <w:rsid w:val="009a3d82"/>
    <w:rPr>
      <w:rFonts w:ascii="Calibri" w:hAnsi="Calibri" w:eastAsia="Times New Roman" w:cs="Times New Roman"/>
      <w:b/>
      <w:bCs/>
      <w:i/>
      <w:iCs/>
      <w:sz w:val="26"/>
      <w:szCs w:val="26"/>
      <w:lang w:eastAsia="ru-RU"/>
    </w:rPr>
  </w:style>
  <w:style w:type="character" w:styleId="61" w:customStyle="1">
    <w:name w:val="Заголовок 6 Знак"/>
    <w:basedOn w:val="DefaultParagraphFont"/>
    <w:uiPriority w:val="99"/>
    <w:qFormat/>
    <w:rsid w:val="009a3d82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8" w:customStyle="1">
    <w:name w:val="Основной текст с отступом Знак"/>
    <w:basedOn w:val="DefaultParagraphFont"/>
    <w:uiPriority w:val="99"/>
    <w:qFormat/>
    <w:rsid w:val="009a3d8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rsid w:val="009a3d82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unhideWhenUsed/>
    <w:qFormat/>
    <w:rsid w:val="009a3d82"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qFormat/>
    <w:rsid w:val="009a3d8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Тема примечания Знак"/>
    <w:basedOn w:val="Style10"/>
    <w:link w:val="Annotationsubject"/>
    <w:qFormat/>
    <w:rsid w:val="009a3d82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2" w:customStyle="1">
    <w:name w:val="Верхний колонтитул Знак"/>
    <w:basedOn w:val="DefaultParagraphFont"/>
    <w:qFormat/>
    <w:rsid w:val="009a3d8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9a3d8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Webofficeattributevalue" w:customStyle="1">
    <w:name w:val="webofficeattributevalue"/>
    <w:qFormat/>
    <w:rsid w:val="009a3d82"/>
    <w:rPr/>
  </w:style>
  <w:style w:type="character" w:styleId="Strong">
    <w:name w:val="Strong"/>
    <w:uiPriority w:val="22"/>
    <w:qFormat/>
    <w:rsid w:val="009a3d82"/>
    <w:rPr>
      <w:b/>
      <w:bCs/>
    </w:rPr>
  </w:style>
  <w:style w:type="character" w:styleId="22" w:customStyle="1">
    <w:name w:val="Основной текст с отступом 2 Знак"/>
    <w:basedOn w:val="DefaultParagraphFont"/>
    <w:link w:val="BodyTextIndent2"/>
    <w:qFormat/>
    <w:rsid w:val="009a3d82"/>
    <w:rPr>
      <w:rFonts w:ascii="Times New Roman" w:hAnsi="Times New Roman" w:eastAsia="Times New Roman" w:cs="Times New Roman"/>
      <w:sz w:val="24"/>
      <w:szCs w:val="20"/>
      <w:lang w:val="x-none" w:eastAsia="x-none"/>
    </w:rPr>
  </w:style>
  <w:style w:type="character" w:styleId="Style14" w:customStyle="1">
    <w:name w:val="Текст Знак"/>
    <w:basedOn w:val="DefaultParagraphFont"/>
    <w:link w:val="PlainText"/>
    <w:qFormat/>
    <w:rsid w:val="009a3d82"/>
    <w:rPr>
      <w:rFonts w:ascii="Courier New" w:hAnsi="Courier New" w:eastAsia="Times New Roman" w:cs="Times New Roman"/>
      <w:b/>
      <w:sz w:val="20"/>
      <w:szCs w:val="20"/>
      <w:lang w:eastAsia="ru-RU"/>
    </w:rPr>
  </w:style>
  <w:style w:type="character" w:styleId="12" w:customStyle="1">
    <w:name w:val="Пункт Знак1"/>
    <w:link w:val="Style38"/>
    <w:qFormat/>
    <w:rsid w:val="009a3d82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character" w:styleId="Style15" w:customStyle="1">
    <w:name w:val="Основной текст Знак"/>
    <w:qFormat/>
    <w:rsid w:val="009a3d82"/>
    <w:rPr>
      <w:sz w:val="28"/>
    </w:rPr>
  </w:style>
  <w:style w:type="character" w:styleId="-">
    <w:name w:val="Hyperlink"/>
    <w:uiPriority w:val="99"/>
    <w:unhideWhenUsed/>
    <w:rsid w:val="009a3d82"/>
    <w:rPr>
      <w:color w:val="0000FF"/>
      <w:u w:val="single"/>
    </w:rPr>
  </w:style>
  <w:style w:type="character" w:styleId="Style16">
    <w:name w:val="FollowedHyperlink"/>
    <w:uiPriority w:val="99"/>
    <w:unhideWhenUsed/>
    <w:rsid w:val="009a3d82"/>
    <w:rPr>
      <w:color w:val="954F72"/>
      <w:u w:val="single"/>
    </w:rPr>
  </w:style>
  <w:style w:type="character" w:styleId="Style17" w:customStyle="1">
    <w:name w:val="Без интервала Знак"/>
    <w:link w:val="NoSpacing"/>
    <w:uiPriority w:val="1"/>
    <w:qFormat/>
    <w:rsid w:val="009a3d82"/>
    <w:rPr>
      <w:rFonts w:ascii="Calibri" w:hAnsi="Calibri" w:eastAsia="Calibri" w:cs="Times New Roman"/>
    </w:rPr>
  </w:style>
  <w:style w:type="character" w:styleId="211" w:customStyle="1">
    <w:name w:val="Заголовок 2 Знак1"/>
    <w:qFormat/>
    <w:locked/>
    <w:rsid w:val="009a3d82"/>
    <w:rPr>
      <w:rFonts w:ascii="Times New Roman" w:hAnsi="Times New Roman" w:eastAsia="Arial Unicode MS" w:cs="Times New Roman"/>
      <w:b/>
      <w:sz w:val="36"/>
      <w:szCs w:val="20"/>
      <w:lang w:eastAsia="ru-RU"/>
    </w:rPr>
  </w:style>
  <w:style w:type="character" w:styleId="Heading2Char" w:customStyle="1">
    <w:name w:val="Heading 2 Char"/>
    <w:uiPriority w:val="9"/>
    <w:semiHidden/>
    <w:qFormat/>
    <w:rsid w:val="009a3d82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8" w:customStyle="1">
    <w:name w:val="комментарий"/>
    <w:uiPriority w:val="99"/>
    <w:qFormat/>
    <w:rsid w:val="009a3d82"/>
    <w:rPr>
      <w:rFonts w:cs="Times New Roman"/>
      <w:b/>
      <w:bCs/>
      <w:i/>
      <w:iCs/>
      <w:shd w:fill="auto" w:val="clear"/>
    </w:rPr>
  </w:style>
  <w:style w:type="character" w:styleId="13" w:customStyle="1">
    <w:name w:val="Основной текст Знак1"/>
    <w:basedOn w:val="DefaultParagraphFont"/>
    <w:qFormat/>
    <w:rsid w:val="009a3d8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3" w:customStyle="1">
    <w:name w:val="Основной текст 2 Знак"/>
    <w:basedOn w:val="DefaultParagraphFont"/>
    <w:link w:val="BodyText2"/>
    <w:uiPriority w:val="99"/>
    <w:qFormat/>
    <w:rsid w:val="009a3d82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9" w:customStyle="1">
    <w:name w:val="Заголовок Знак"/>
    <w:basedOn w:val="DefaultParagraphFont"/>
    <w:uiPriority w:val="99"/>
    <w:qFormat/>
    <w:rsid w:val="009a3d82"/>
    <w:rPr>
      <w:rFonts w:ascii="Cambria" w:hAnsi="Cambria" w:eastAsia="Times New Roman" w:cs="Times New Roman"/>
      <w:b/>
      <w:bCs/>
      <w:kern w:val="2"/>
      <w:sz w:val="32"/>
      <w:szCs w:val="32"/>
      <w:lang w:eastAsia="ru-RU"/>
    </w:rPr>
  </w:style>
  <w:style w:type="character" w:styleId="32" w:customStyle="1">
    <w:name w:val="Основной текст 3 Знак"/>
    <w:basedOn w:val="DefaultParagraphFont"/>
    <w:link w:val="BodyText3"/>
    <w:uiPriority w:val="99"/>
    <w:qFormat/>
    <w:rsid w:val="009a3d82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20" w:customStyle="1">
    <w:name w:val="Текст сноски Знак"/>
    <w:basedOn w:val="DefaultParagraphFont"/>
    <w:qFormat/>
    <w:rsid w:val="009a3d82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1" w:customStyle="1">
    <w:name w:val="Символ сноски"/>
    <w:uiPriority w:val="99"/>
    <w:qFormat/>
    <w:rsid w:val="009a3d82"/>
    <w:rPr>
      <w:rFonts w:cs="Times New Roman"/>
      <w:vertAlign w:val="superscript"/>
    </w:rPr>
  </w:style>
  <w:style w:type="character" w:styleId="Style22">
    <w:name w:val="Footnote Reference"/>
    <w:rPr>
      <w:rFonts w:cs="Times New Roman"/>
      <w:vertAlign w:val="superscript"/>
    </w:rPr>
  </w:style>
  <w:style w:type="character" w:styleId="Style23" w:customStyle="1">
    <w:name w:val="Схема документа Знак"/>
    <w:basedOn w:val="DefaultParagraphFont"/>
    <w:link w:val="DocumentMap"/>
    <w:uiPriority w:val="99"/>
    <w:qFormat/>
    <w:rsid w:val="009a3d82"/>
    <w:rPr>
      <w:rFonts w:ascii="Times New Roman" w:hAnsi="Times New Roman" w:eastAsia="Times New Roman" w:cs="Times New Roman"/>
      <w:sz w:val="2"/>
      <w:szCs w:val="2"/>
      <w:shd w:fill="000080" w:val="clear"/>
      <w:lang w:eastAsia="ru-RU"/>
    </w:rPr>
  </w:style>
  <w:style w:type="character" w:styleId="33" w:customStyle="1">
    <w:name w:val="Знак Знак3"/>
    <w:uiPriority w:val="99"/>
    <w:qFormat/>
    <w:rsid w:val="009a3d82"/>
    <w:rPr>
      <w:rFonts w:ascii="Courier New" w:hAnsi="Courier New" w:cs="Courier New"/>
      <w:b/>
      <w:bCs/>
      <w:lang w:val="ru-RU" w:eastAsia="ru-RU"/>
    </w:rPr>
  </w:style>
  <w:style w:type="character" w:styleId="Pagenumber">
    <w:name w:val="page number"/>
    <w:uiPriority w:val="99"/>
    <w:qFormat/>
    <w:rsid w:val="009a3d82"/>
    <w:rPr>
      <w:rFonts w:cs="Times New Roman"/>
    </w:rPr>
  </w:style>
  <w:style w:type="character" w:styleId="Style24" w:customStyle="1">
    <w:name w:val="Подподпункт Знак"/>
    <w:link w:val="Style42"/>
    <w:qFormat/>
    <w:locked/>
    <w:rsid w:val="009a3d82"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24" w:customStyle="1">
    <w:name w:val="Пункт2 Знак"/>
    <w:link w:val="25"/>
    <w:uiPriority w:val="99"/>
    <w:qFormat/>
    <w:locked/>
    <w:rsid w:val="009a3d82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Style25">
    <w:name w:val="Emphasis"/>
    <w:uiPriority w:val="20"/>
    <w:qFormat/>
    <w:rsid w:val="009a3d82"/>
    <w:rPr>
      <w:rFonts w:cs="Times New Roman"/>
      <w:i/>
      <w:iCs/>
    </w:rPr>
  </w:style>
  <w:style w:type="character" w:styleId="Defaultlabelstyle1" w:customStyle="1">
    <w:name w:val="defaultlabelstyle1"/>
    <w:qFormat/>
    <w:rsid w:val="009a3d82"/>
    <w:rPr>
      <w:rFonts w:ascii="Verdana" w:hAnsi="Verdana"/>
      <w:b w:val="false"/>
      <w:bCs w:val="false"/>
      <w:color w:val="333333"/>
    </w:rPr>
  </w:style>
  <w:style w:type="character" w:styleId="Style26" w:customStyle="1">
    <w:name w:val="Основной текст_"/>
    <w:link w:val="10"/>
    <w:qFormat/>
    <w:locked/>
    <w:rsid w:val="009a3d82"/>
    <w:rPr>
      <w:sz w:val="23"/>
      <w:szCs w:val="23"/>
      <w:shd w:fill="FFFFFF" w:val="clear"/>
    </w:rPr>
  </w:style>
  <w:style w:type="character" w:styleId="131" w:customStyle="1">
    <w:name w:val="Основной текст (13)_"/>
    <w:link w:val="132"/>
    <w:qFormat/>
    <w:locked/>
    <w:rsid w:val="009a3d82"/>
    <w:rPr>
      <w:sz w:val="23"/>
      <w:szCs w:val="23"/>
      <w:shd w:fill="FFFFFF" w:val="clear"/>
    </w:rPr>
  </w:style>
  <w:style w:type="character" w:styleId="Numbers" w:customStyle="1">
    <w:name w:val="numbers"/>
    <w:qFormat/>
    <w:rsid w:val="009a3d82"/>
    <w:rPr/>
  </w:style>
  <w:style w:type="character" w:styleId="14" w:customStyle="1">
    <w:name w:val="Таблица 1 Знак"/>
    <w:link w:val="110"/>
    <w:qFormat/>
    <w:locked/>
    <w:rsid w:val="009a3d82"/>
    <w:rPr>
      <w:rFonts w:ascii="Times New Roman" w:hAnsi="Times New Roman" w:eastAsia="Times New Roman" w:cs="Times New Roman"/>
      <w:sz w:val="24"/>
      <w:szCs w:val="28"/>
      <w:lang w:eastAsia="ru-RU"/>
    </w:rPr>
  </w:style>
  <w:style w:type="character" w:styleId="Style27" w:customStyle="1">
    <w:name w:val="П.З. Знак"/>
    <w:link w:val="Style49"/>
    <w:qFormat/>
    <w:locked/>
    <w:rsid w:val="009a3d82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34" w:customStyle="1">
    <w:name w:val="Стиль3 Знак"/>
    <w:link w:val="35"/>
    <w:qFormat/>
    <w:locked/>
    <w:rsid w:val="009a3d82"/>
    <w:rPr>
      <w:rFonts w:ascii="Arial" w:hAnsi="Arial" w:eastAsia="Times New Roman" w:cs="Arial"/>
      <w:lang w:val="x-none" w:eastAsia="x-none"/>
    </w:rPr>
  </w:style>
  <w:style w:type="character" w:styleId="Fontstyle01" w:customStyle="1">
    <w:name w:val="fontstyle01"/>
    <w:qFormat/>
    <w:rsid w:val="0058507a"/>
    <w:rPr>
      <w:rFonts w:ascii="TimesNewRomanPSMT" w:hAnsi="TimesNewRomanPSMT"/>
      <w:b w:val="false"/>
      <w:bCs w:val="false"/>
      <w:i w:val="false"/>
      <w:iCs w:val="false"/>
      <w:color w:val="000000"/>
      <w:sz w:val="22"/>
      <w:szCs w:val="22"/>
    </w:rPr>
  </w:style>
  <w:style w:type="character" w:styleId="15" w:customStyle="1">
    <w:name w:val="Знак примечания1"/>
    <w:qFormat/>
    <w:rPr>
      <w:sz w:val="16"/>
      <w:szCs w:val="16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9">
    <w:name w:val="Body Text"/>
    <w:basedOn w:val="Normal"/>
    <w:link w:val="Style15"/>
    <w:rsid w:val="009a3d82"/>
    <w:pPr>
      <w:spacing w:before="0" w:after="120"/>
    </w:pPr>
    <w:rPr>
      <w:rFonts w:ascii="Calibri" w:hAnsi="Calibri" w:eastAsia="Calibri" w:cs="" w:asciiTheme="minorHAnsi" w:cstheme="minorBidi" w:eastAsiaTheme="minorHAnsi" w:hAnsiTheme="minorHAnsi"/>
      <w:sz w:val="28"/>
      <w:szCs w:val="22"/>
      <w:lang w:eastAsia="en-US"/>
    </w:rPr>
  </w:style>
  <w:style w:type="paragraph" w:styleId="Style30">
    <w:name w:val="List"/>
    <w:basedOn w:val="Style29"/>
    <w:pPr/>
    <w:rPr>
      <w:rFonts w:cs="Arial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Arial"/>
    </w:rPr>
  </w:style>
  <w:style w:type="paragraph" w:styleId="Style33">
    <w:name w:val="Title"/>
    <w:basedOn w:val="Normal"/>
    <w:next w:val="Style29"/>
    <w:link w:val="Style19"/>
    <w:uiPriority w:val="99"/>
    <w:qFormat/>
    <w:rsid w:val="009a3d82"/>
    <w:pPr>
      <w:jc w:val="center"/>
    </w:pPr>
    <w:rPr>
      <w:rFonts w:ascii="Cambria" w:hAnsi="Cambria"/>
      <w:b/>
      <w:bCs/>
      <w:kern w:val="2"/>
      <w:sz w:val="32"/>
      <w:szCs w:val="32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Indexheading">
    <w:name w:val="index heading"/>
    <w:basedOn w:val="Style33"/>
    <w:qFormat/>
    <w:pPr/>
    <w:rPr/>
  </w:style>
  <w:style w:type="paragraph" w:styleId="Caption1" w:customStyle="1">
    <w:name w:val="caption1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Indexheading1" w:customStyle="1">
    <w:name w:val="index heading1"/>
    <w:basedOn w:val="Style33"/>
    <w:qFormat/>
    <w:pPr/>
    <w:rPr/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11" w:customStyle="1">
    <w:name w:val="index heading11"/>
    <w:basedOn w:val="Style33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111" w:customStyle="1">
    <w:name w:val="index heading111"/>
    <w:basedOn w:val="Style33"/>
    <w:qFormat/>
    <w:pPr/>
    <w:rPr/>
  </w:style>
  <w:style w:type="paragraph" w:styleId="Caption1111" w:customStyle="1">
    <w:name w:val="caption1111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xheading1111" w:customStyle="1">
    <w:name w:val="index heading1111"/>
    <w:basedOn w:val="Style33"/>
    <w:qFormat/>
    <w:pPr/>
    <w:rPr/>
  </w:style>
  <w:style w:type="paragraph" w:styleId="Style51" w:customStyle="1">
    <w:name w:val="Style5"/>
    <w:basedOn w:val="Normal"/>
    <w:uiPriority w:val="99"/>
    <w:qFormat/>
    <w:rsid w:val="009a3d82"/>
    <w:pPr>
      <w:widowControl w:val="false"/>
      <w:spacing w:lineRule="exact" w:line="320"/>
      <w:ind w:firstLine="706"/>
      <w:jc w:val="both"/>
    </w:pPr>
    <w:rPr/>
  </w:style>
  <w:style w:type="paragraph" w:styleId="Style34">
    <w:name w:val="Body Text Indent"/>
    <w:basedOn w:val="Normal"/>
    <w:link w:val="Style8"/>
    <w:uiPriority w:val="99"/>
    <w:rsid w:val="009a3d82"/>
    <w:pPr>
      <w:spacing w:before="0" w:after="120"/>
      <w:ind w:left="283" w:hanging="0"/>
    </w:pPr>
    <w:rPr/>
  </w:style>
  <w:style w:type="paragraph" w:styleId="BalloonText">
    <w:name w:val="Balloon Text"/>
    <w:basedOn w:val="Normal"/>
    <w:link w:val="Style9"/>
    <w:uiPriority w:val="99"/>
    <w:semiHidden/>
    <w:unhideWhenUsed/>
    <w:qFormat/>
    <w:rsid w:val="009a3d82"/>
    <w:pPr/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Style10"/>
    <w:unhideWhenUsed/>
    <w:qFormat/>
    <w:rsid w:val="009a3d82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1"/>
    <w:unhideWhenUsed/>
    <w:qFormat/>
    <w:rsid w:val="009a3d82"/>
    <w:pPr/>
    <w:rPr>
      <w:b/>
      <w:bCs/>
    </w:rPr>
  </w:style>
  <w:style w:type="paragraph" w:styleId="ListParagraph">
    <w:name w:val="List Paragraph"/>
    <w:basedOn w:val="Normal"/>
    <w:uiPriority w:val="34"/>
    <w:qFormat/>
    <w:rsid w:val="009a3d82"/>
    <w:pPr>
      <w:spacing w:lineRule="auto" w:line="259" w:before="0" w:after="160"/>
      <w:ind w:left="720" w:hanging="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Default" w:customStyle="1">
    <w:name w:val="Default"/>
    <w:qFormat/>
    <w:rsid w:val="009a3d8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ru-RU" w:eastAsia="en-US" w:bidi="ar-SA"/>
    </w:rPr>
  </w:style>
  <w:style w:type="paragraph" w:styleId="Style35" w:customStyle="1">
    <w:name w:val="Колонтитул"/>
    <w:basedOn w:val="Normal"/>
    <w:qFormat/>
    <w:pPr/>
    <w:rPr/>
  </w:style>
  <w:style w:type="paragraph" w:styleId="Style36">
    <w:name w:val="Header"/>
    <w:basedOn w:val="Normal"/>
    <w:link w:val="Style12"/>
    <w:unhideWhenUsed/>
    <w:rsid w:val="009a3d8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7">
    <w:name w:val="Footer"/>
    <w:basedOn w:val="Normal"/>
    <w:link w:val="Style13"/>
    <w:uiPriority w:val="99"/>
    <w:unhideWhenUsed/>
    <w:rsid w:val="009a3d8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Revision">
    <w:name w:val="Revision"/>
    <w:uiPriority w:val="99"/>
    <w:semiHidden/>
    <w:qFormat/>
    <w:rsid w:val="009a3d8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BodyTextIndent2">
    <w:name w:val="Body Text Indent 2"/>
    <w:basedOn w:val="Normal"/>
    <w:link w:val="22"/>
    <w:qFormat/>
    <w:rsid w:val="009a3d82"/>
    <w:pPr>
      <w:ind w:left="567" w:hanging="0"/>
      <w:jc w:val="both"/>
    </w:pPr>
    <w:rPr>
      <w:szCs w:val="20"/>
      <w:lang w:val="x-none" w:eastAsia="x-none"/>
    </w:rPr>
  </w:style>
  <w:style w:type="paragraph" w:styleId="PlainText">
    <w:name w:val="Plain Text"/>
    <w:basedOn w:val="Normal"/>
    <w:link w:val="Style14"/>
    <w:qFormat/>
    <w:rsid w:val="009a3d82"/>
    <w:pPr/>
    <w:rPr>
      <w:rFonts w:ascii="Courier New" w:hAnsi="Courier New"/>
      <w:b/>
      <w:sz w:val="20"/>
      <w:szCs w:val="20"/>
    </w:rPr>
  </w:style>
  <w:style w:type="paragraph" w:styleId="Style38" w:customStyle="1">
    <w:name w:val="Пункт"/>
    <w:basedOn w:val="Normal"/>
    <w:link w:val="12"/>
    <w:qFormat/>
    <w:rsid w:val="009a3d82"/>
    <w:pPr>
      <w:spacing w:lineRule="auto" w:line="360"/>
      <w:jc w:val="both"/>
    </w:pPr>
    <w:rPr>
      <w:sz w:val="28"/>
      <w:szCs w:val="20"/>
      <w:lang w:val="x-none" w:eastAsia="x-none"/>
    </w:rPr>
  </w:style>
  <w:style w:type="paragraph" w:styleId="Style39" w:customStyle="1">
    <w:name w:val="Таблица шапка"/>
    <w:basedOn w:val="Normal"/>
    <w:qFormat/>
    <w:rsid w:val="009a3d82"/>
    <w:pPr>
      <w:keepNext w:val="true"/>
      <w:spacing w:before="40" w:after="40"/>
      <w:ind w:left="57" w:right="57" w:hanging="0"/>
    </w:pPr>
    <w:rPr>
      <w:sz w:val="22"/>
    </w:rPr>
  </w:style>
  <w:style w:type="paragraph" w:styleId="Style40" w:customStyle="1">
    <w:name w:val="Таблица текст"/>
    <w:basedOn w:val="Normal"/>
    <w:qFormat/>
    <w:rsid w:val="009a3d82"/>
    <w:pPr>
      <w:spacing w:before="40" w:after="40"/>
      <w:ind w:left="57" w:right="57" w:hanging="0"/>
    </w:pPr>
    <w:rPr/>
  </w:style>
  <w:style w:type="paragraph" w:styleId="Style41" w:customStyle="1">
    <w:name w:val="Знак Знак Знак Знак Знак Знак"/>
    <w:basedOn w:val="Normal"/>
    <w:qFormat/>
    <w:rsid w:val="009a3d82"/>
    <w:pPr>
      <w:tabs>
        <w:tab w:val="clear" w:pos="708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42" w:customStyle="1">
    <w:name w:val="Подподпункт"/>
    <w:basedOn w:val="Normal"/>
    <w:link w:val="Style24"/>
    <w:qFormat/>
    <w:rsid w:val="009a3d82"/>
    <w:pPr>
      <w:widowControl w:val="false"/>
      <w:numPr>
        <w:ilvl w:val="4"/>
        <w:numId w:val="1"/>
      </w:numPr>
      <w:spacing w:lineRule="auto" w:line="360"/>
      <w:jc w:val="both"/>
      <w:textAlignment w:val="baseline"/>
    </w:pPr>
    <w:rPr>
      <w:sz w:val="28"/>
      <w:szCs w:val="20"/>
    </w:rPr>
  </w:style>
  <w:style w:type="paragraph" w:styleId="52" w:customStyle="1">
    <w:name w:val="заголовок 5"/>
    <w:basedOn w:val="Normal"/>
    <w:next w:val="Normal"/>
    <w:qFormat/>
    <w:rsid w:val="009a3d82"/>
    <w:pPr>
      <w:widowControl w:val="false"/>
      <w:tabs>
        <w:tab w:val="clear" w:pos="708"/>
        <w:tab w:val="left" w:pos="1008" w:leader="none"/>
      </w:tabs>
      <w:spacing w:before="240" w:after="60"/>
      <w:ind w:left="1008" w:hanging="1008"/>
    </w:pPr>
    <w:rPr>
      <w:szCs w:val="20"/>
    </w:rPr>
  </w:style>
  <w:style w:type="paragraph" w:styleId="16" w:customStyle="1">
    <w:name w:val="Цитата1"/>
    <w:basedOn w:val="Normal"/>
    <w:uiPriority w:val="99"/>
    <w:qFormat/>
    <w:rsid w:val="009a3d82"/>
    <w:pPr>
      <w:shd w:val="clear" w:color="auto" w:fill="FFFFFF"/>
      <w:spacing w:lineRule="auto" w:line="360"/>
      <w:ind w:left="34" w:right="32" w:firstLine="595"/>
      <w:jc w:val="both"/>
    </w:pPr>
    <w:rPr>
      <w:rFonts w:ascii="Arial" w:hAnsi="Arial"/>
      <w:color w:val="000000"/>
      <w:sz w:val="22"/>
      <w:szCs w:val="20"/>
    </w:rPr>
  </w:style>
  <w:style w:type="paragraph" w:styleId="NoSpacing">
    <w:name w:val="No Spacing"/>
    <w:link w:val="Style17"/>
    <w:uiPriority w:val="1"/>
    <w:qFormat/>
    <w:rsid w:val="009a3d82"/>
    <w:pPr>
      <w:widowControl/>
      <w:suppressAutoHyphens w:val="true"/>
      <w:bidi w:val="0"/>
      <w:spacing w:before="0" w:after="0"/>
      <w:jc w:val="left"/>
    </w:pPr>
    <w:rPr>
      <w:rFonts w:cs="Times New Roman" w:ascii="Calibri" w:hAnsi="Calibri" w:eastAsia="Calibri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ListNumber">
    <w:name w:val="List Number"/>
    <w:basedOn w:val="Style29"/>
    <w:uiPriority w:val="99"/>
    <w:qFormat/>
    <w:rsid w:val="009a3d82"/>
    <w:pPr>
      <w:tabs>
        <w:tab w:val="clear" w:pos="708"/>
        <w:tab w:val="left" w:pos="1134" w:leader="none"/>
      </w:tabs>
      <w:spacing w:lineRule="auto" w:line="360" w:before="60" w:after="0"/>
      <w:ind w:firstLine="567"/>
      <w:jc w:val="both"/>
    </w:pPr>
    <w:rPr>
      <w:szCs w:val="28"/>
    </w:rPr>
  </w:style>
  <w:style w:type="paragraph" w:styleId="BodyText2">
    <w:name w:val="Body Text 2"/>
    <w:basedOn w:val="Normal"/>
    <w:link w:val="23"/>
    <w:uiPriority w:val="99"/>
    <w:qFormat/>
    <w:rsid w:val="009a3d82"/>
    <w:pPr/>
    <w:rPr/>
  </w:style>
  <w:style w:type="paragraph" w:styleId="ConsPlusNormal" w:customStyle="1">
    <w:name w:val="ConsPlusNormal"/>
    <w:uiPriority w:val="99"/>
    <w:qFormat/>
    <w:rsid w:val="009a3d82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4"/>
      <w:szCs w:val="24"/>
      <w:lang w:eastAsia="ru-RU" w:val="ru-RU" w:bidi="ar-SA"/>
    </w:rPr>
  </w:style>
  <w:style w:type="paragraph" w:styleId="Style43" w:customStyle="1">
    <w:name w:val="Пункт б/н"/>
    <w:basedOn w:val="Normal"/>
    <w:uiPriority w:val="99"/>
    <w:qFormat/>
    <w:rsid w:val="009a3d82"/>
    <w:pPr>
      <w:tabs>
        <w:tab w:val="clear" w:pos="708"/>
        <w:tab w:val="left" w:pos="1134" w:leader="none"/>
      </w:tabs>
      <w:spacing w:lineRule="auto" w:line="360"/>
      <w:ind w:left="1134" w:hanging="0"/>
      <w:jc w:val="both"/>
    </w:pPr>
    <w:rPr>
      <w:sz w:val="28"/>
      <w:szCs w:val="28"/>
    </w:rPr>
  </w:style>
  <w:style w:type="paragraph" w:styleId="BodyText3">
    <w:name w:val="Body Text 3"/>
    <w:basedOn w:val="Normal"/>
    <w:link w:val="32"/>
    <w:uiPriority w:val="99"/>
    <w:qFormat/>
    <w:rsid w:val="009a3d82"/>
    <w:pPr>
      <w:spacing w:lineRule="auto" w:line="360" w:before="0" w:after="120"/>
      <w:ind w:firstLine="567"/>
      <w:jc w:val="both"/>
    </w:pPr>
    <w:rPr>
      <w:sz w:val="16"/>
      <w:szCs w:val="16"/>
    </w:rPr>
  </w:style>
  <w:style w:type="paragraph" w:styleId="17" w:customStyle="1">
    <w:name w:val="Знак Знак Знак1 Знак Знак Знак Знак Знак Знак Знак"/>
    <w:basedOn w:val="Normal"/>
    <w:uiPriority w:val="99"/>
    <w:qFormat/>
    <w:rsid w:val="009a3d82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yle44">
    <w:name w:val="Footnote Text"/>
    <w:basedOn w:val="Normal"/>
    <w:link w:val="Style20"/>
    <w:rsid w:val="009a3d82"/>
    <w:pPr/>
    <w:rPr>
      <w:sz w:val="20"/>
      <w:szCs w:val="20"/>
    </w:rPr>
  </w:style>
  <w:style w:type="paragraph" w:styleId="DocumentMap">
    <w:name w:val="Document Map"/>
    <w:basedOn w:val="Normal"/>
    <w:link w:val="Style23"/>
    <w:uiPriority w:val="99"/>
    <w:qFormat/>
    <w:rsid w:val="009a3d82"/>
    <w:pPr>
      <w:shd w:val="clear" w:color="auto" w:fill="000080"/>
    </w:pPr>
    <w:rPr>
      <w:sz w:val="2"/>
      <w:szCs w:val="2"/>
    </w:rPr>
  </w:style>
  <w:style w:type="paragraph" w:styleId="BlockText">
    <w:name w:val="Block Text"/>
    <w:basedOn w:val="Normal"/>
    <w:uiPriority w:val="99"/>
    <w:qFormat/>
    <w:rsid w:val="009a3d82"/>
    <w:pPr>
      <w:widowControl w:val="false"/>
      <w:spacing w:lineRule="auto" w:line="259" w:before="240" w:after="0"/>
      <w:ind w:left="560" w:right="-66" w:firstLine="560"/>
      <w:jc w:val="both"/>
    </w:pPr>
    <w:rPr/>
  </w:style>
  <w:style w:type="paragraph" w:styleId="Style45" w:customStyle="1">
    <w:name w:val="служебная информация"/>
    <w:basedOn w:val="Normal"/>
    <w:uiPriority w:val="99"/>
    <w:qFormat/>
    <w:rsid w:val="009a3d82"/>
    <w:pPr>
      <w:tabs>
        <w:tab w:val="clear" w:pos="708"/>
        <w:tab w:val="left" w:pos="4335" w:leader="none"/>
      </w:tabs>
      <w:ind w:left="1800" w:right="900" w:hanging="1800"/>
    </w:pPr>
    <w:rPr>
      <w:rFonts w:ascii="Arial" w:hAnsi="Arial" w:cs="Arial"/>
      <w:sz w:val="16"/>
      <w:szCs w:val="16"/>
    </w:rPr>
  </w:style>
  <w:style w:type="paragraph" w:styleId="Style46" w:customStyle="1">
    <w:name w:val="Подпункт"/>
    <w:basedOn w:val="Style38"/>
    <w:qFormat/>
    <w:rsid w:val="009a3d82"/>
    <w:pPr>
      <w:tabs>
        <w:tab w:val="clear" w:pos="708"/>
        <w:tab w:val="left" w:pos="2880" w:leader="none"/>
      </w:tabs>
      <w:ind w:left="2880" w:hanging="360"/>
    </w:pPr>
    <w:rPr>
      <w:szCs w:val="28"/>
      <w:lang w:val="ru-RU" w:eastAsia="ru-RU"/>
    </w:rPr>
  </w:style>
  <w:style w:type="paragraph" w:styleId="25" w:customStyle="1">
    <w:name w:val="Пункт2"/>
    <w:basedOn w:val="Style38"/>
    <w:link w:val="24"/>
    <w:uiPriority w:val="99"/>
    <w:qFormat/>
    <w:rsid w:val="009a3d82"/>
    <w:pPr>
      <w:keepNext w:val="true"/>
      <w:tabs>
        <w:tab w:val="clear" w:pos="708"/>
        <w:tab w:val="left" w:pos="2160" w:leader="none"/>
      </w:tabs>
      <w:spacing w:lineRule="auto" w:line="240" w:before="240" w:after="120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paragraph" w:styleId="18" w:customStyle="1">
    <w:name w:val="Абзац списка1"/>
    <w:basedOn w:val="Normal"/>
    <w:uiPriority w:val="34"/>
    <w:qFormat/>
    <w:rsid w:val="009a3d82"/>
    <w:pPr>
      <w:spacing w:before="0" w:after="0"/>
      <w:ind w:left="720" w:hanging="0"/>
      <w:contextualSpacing/>
    </w:pPr>
    <w:rPr/>
  </w:style>
  <w:style w:type="paragraph" w:styleId="10" w:customStyle="1">
    <w:name w:val="Основной текст10"/>
    <w:basedOn w:val="Normal"/>
    <w:link w:val="Style26"/>
    <w:qFormat/>
    <w:rsid w:val="009a3d82"/>
    <w:pPr>
      <w:shd w:val="clear" w:color="auto" w:fill="FFFFFF"/>
      <w:spacing w:lineRule="exact" w:line="86" w:before="0" w:after="1440"/>
      <w:ind w:hanging="460"/>
      <w:jc w:val="both"/>
    </w:pPr>
    <w:rPr>
      <w:rFonts w:ascii="Calibri" w:hAnsi="Calibri" w:eastAsia="Calibri" w:cs="" w:asciiTheme="minorHAnsi" w:cstheme="minorBidi" w:eastAsiaTheme="minorHAnsi" w:hAnsiTheme="minorHAnsi"/>
      <w:sz w:val="23"/>
      <w:szCs w:val="23"/>
      <w:shd w:fill="FFFFFF" w:val="clear"/>
      <w:lang w:eastAsia="en-US"/>
    </w:rPr>
  </w:style>
  <w:style w:type="paragraph" w:styleId="132" w:customStyle="1">
    <w:name w:val="Основной текст (13)"/>
    <w:basedOn w:val="Normal"/>
    <w:link w:val="131"/>
    <w:qFormat/>
    <w:rsid w:val="009a3d82"/>
    <w:pPr>
      <w:shd w:val="clear" w:color="auto" w:fill="FFFFFF"/>
      <w:spacing w:lineRule="atLeast" w:line="240" w:before="0" w:after="600"/>
      <w:ind w:hanging="980"/>
      <w:jc w:val="both"/>
    </w:pPr>
    <w:rPr>
      <w:rFonts w:ascii="Calibri" w:hAnsi="Calibri" w:eastAsia="Calibri" w:cs="" w:asciiTheme="minorHAnsi" w:cstheme="minorBidi" w:eastAsiaTheme="minorHAnsi" w:hAnsiTheme="minorHAnsi"/>
      <w:sz w:val="23"/>
      <w:szCs w:val="23"/>
      <w:shd w:fill="FFFFFF" w:val="clear"/>
      <w:lang w:eastAsia="en-US"/>
    </w:rPr>
  </w:style>
  <w:style w:type="paragraph" w:styleId="10cxspmiddle" w:customStyle="1">
    <w:name w:val="10cxspmiddle"/>
    <w:basedOn w:val="Normal"/>
    <w:qFormat/>
    <w:rsid w:val="009a3d82"/>
    <w:pPr>
      <w:spacing w:beforeAutospacing="1" w:afterAutospacing="1"/>
    </w:pPr>
    <w:rPr/>
  </w:style>
  <w:style w:type="paragraph" w:styleId="10cxsplast" w:customStyle="1">
    <w:name w:val="10cxsplast"/>
    <w:basedOn w:val="Normal"/>
    <w:qFormat/>
    <w:rsid w:val="009a3d82"/>
    <w:pPr>
      <w:spacing w:beforeAutospacing="1" w:afterAutospacing="1"/>
    </w:pPr>
    <w:rPr/>
  </w:style>
  <w:style w:type="paragraph" w:styleId="Style47">
    <w:name w:val="Index Heading"/>
    <w:basedOn w:val="Style28"/>
    <w:pPr/>
    <w:rPr/>
  </w:style>
  <w:style w:type="paragraph" w:styleId="Style48">
    <w:name w:val="TOC Heading"/>
    <w:basedOn w:val="1"/>
    <w:next w:val="Normal"/>
    <w:uiPriority w:val="39"/>
    <w:unhideWhenUsed/>
    <w:qFormat/>
    <w:rsid w:val="009a3d82"/>
    <w:pPr>
      <w:keepLines/>
      <w:spacing w:lineRule="auto" w:line="259" w:before="240" w:after="0"/>
      <w:outlineLvl w:val="9"/>
    </w:pPr>
    <w:rPr>
      <w:rFonts w:ascii="Calibri Light" w:hAnsi="Calibri Light" w:cs="Times New Roman"/>
      <w:b w:val="false"/>
      <w:bCs w:val="false"/>
      <w:color w:val="2E74B5"/>
      <w:kern w:val="0"/>
    </w:rPr>
  </w:style>
  <w:style w:type="paragraph" w:styleId="19">
    <w:name w:val="TOC 1"/>
    <w:basedOn w:val="Normal"/>
    <w:next w:val="Normal"/>
    <w:autoRedefine/>
    <w:uiPriority w:val="39"/>
    <w:unhideWhenUsed/>
    <w:rsid w:val="009a3d82"/>
    <w:pPr>
      <w:tabs>
        <w:tab w:val="clear" w:pos="708"/>
        <w:tab w:val="right" w:pos="10336" w:leader="dot"/>
      </w:tabs>
      <w:ind w:left="-851" w:hanging="0"/>
    </w:pPr>
    <w:rPr/>
  </w:style>
  <w:style w:type="paragraph" w:styleId="110" w:customStyle="1">
    <w:name w:val="Таблица 1"/>
    <w:basedOn w:val="Normal"/>
    <w:link w:val="14"/>
    <w:qFormat/>
    <w:rsid w:val="009a3d82"/>
    <w:pPr>
      <w:widowControl w:val="false"/>
      <w:ind w:right="-108" w:hanging="0"/>
    </w:pPr>
    <w:rPr>
      <w:szCs w:val="28"/>
    </w:rPr>
  </w:style>
  <w:style w:type="paragraph" w:styleId="Style49" w:customStyle="1">
    <w:name w:val="П.З."/>
    <w:basedOn w:val="Normal"/>
    <w:link w:val="Style27"/>
    <w:qFormat/>
    <w:rsid w:val="009a3d82"/>
    <w:pPr>
      <w:spacing w:lineRule="auto" w:line="360"/>
      <w:ind w:firstLine="851"/>
      <w:jc w:val="both"/>
    </w:pPr>
    <w:rPr>
      <w:sz w:val="28"/>
      <w:szCs w:val="28"/>
    </w:rPr>
  </w:style>
  <w:style w:type="paragraph" w:styleId="35" w:customStyle="1">
    <w:name w:val="Стиль3"/>
    <w:basedOn w:val="Normal"/>
    <w:link w:val="34"/>
    <w:qFormat/>
    <w:rsid w:val="009a3d82"/>
    <w:pPr>
      <w:keepLines/>
      <w:spacing w:lineRule="auto" w:line="360"/>
      <w:ind w:firstLine="567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111" w:customStyle="1">
    <w:name w:val="Знак Знак Знак1"/>
    <w:basedOn w:val="Normal"/>
    <w:qFormat/>
    <w:rsid w:val="009a3d82"/>
    <w:pPr>
      <w:tabs>
        <w:tab w:val="clear" w:pos="708"/>
        <w:tab w:val="left" w:pos="360" w:leader="none"/>
      </w:tabs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Standard" w:customStyle="1">
    <w:name w:val="Standard"/>
    <w:qFormat/>
    <w:rsid w:val="00d07dd0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kern w:val="2"/>
      <w:sz w:val="24"/>
      <w:szCs w:val="24"/>
      <w:lang w:eastAsia="zh-CN" w:val="ru-RU" w:bidi="ar-SA"/>
    </w:rPr>
  </w:style>
  <w:style w:type="paragraph" w:styleId="Style50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52" w:customStyle="1">
    <w:name w:val="Заголовок таблицы"/>
    <w:basedOn w:val="Style50"/>
    <w:qFormat/>
    <w:pPr>
      <w:jc w:val="center"/>
    </w:pPr>
    <w:rPr>
      <w:b/>
      <w:bCs/>
    </w:rPr>
  </w:style>
  <w:style w:type="paragraph" w:styleId="Western" w:customStyle="1">
    <w:name w:val="western"/>
    <w:basedOn w:val="Normal"/>
    <w:qFormat/>
    <w:rsid w:val="003e6d83"/>
    <w:pPr>
      <w:suppressAutoHyphens w:val="false"/>
      <w:spacing w:beforeAutospacing="1" w:after="119"/>
    </w:pPr>
    <w:rPr>
      <w:rFonts w:ascii="Calibri" w:hAnsi="Calibri" w:cs="Calibri"/>
      <w:color w:val="000000"/>
      <w:sz w:val="28"/>
      <w:szCs w:val="28"/>
    </w:rPr>
  </w:style>
  <w:style w:type="numbering" w:styleId="NoList" w:default="1">
    <w:name w:val="No List"/>
    <w:uiPriority w:val="99"/>
    <w:semiHidden/>
    <w:unhideWhenUsed/>
    <w:qFormat/>
  </w:style>
  <w:style w:type="numbering" w:styleId="112" w:customStyle="1">
    <w:name w:val="Нет списка1"/>
    <w:uiPriority w:val="99"/>
    <w:semiHidden/>
    <w:unhideWhenUsed/>
    <w:qFormat/>
    <w:rsid w:val="009a3d82"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b">
    <w:name w:val="Table Grid"/>
    <w:basedOn w:val="a2"/>
    <w:uiPriority w:val="39"/>
    <w:rsid w:val="009a3d82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d">
    <w:name w:val="Сетка таблицы1"/>
    <w:basedOn w:val="a2"/>
    <w:rsid w:val="009a3d82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9a3d82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19B50-C2F3-4263-8073-EA017560D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Application>LibreOffice/7.5.5.2$Windows_X86_64 LibreOffice_project/ca8fe7424262805f223b9a2334bc7181abbcbf5e</Application>
  <AppVersion>15.0000</AppVersion>
  <Pages>10</Pages>
  <Words>1629</Words>
  <Characters>10515</Characters>
  <CharactersWithSpaces>11687</CharactersWithSpaces>
  <Paragraphs>480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2025-06-30T07:30:00Z</dcterms:created>
  <dc:creator>Коваленко Александр Олегович</dc:creator>
  <dc:description/>
  <dc:language>ru-RU</dc:language>
  <cp:lastModifiedBy/>
  <cp:lastPrinted>2021-07-19T22:33:00Z</cp:lastPrinted>
  <dcterms:modified xsi:type="dcterms:W3CDTF">2026-05-18T14:33:40Z</dcterms:modified>
  <cp:revision>119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